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B6870A" w14:textId="77777777" w:rsidR="009534C7" w:rsidRDefault="00DF03F5">
      <w:r>
        <w:rPr>
          <w:noProof/>
        </w:rPr>
        <w:drawing>
          <wp:inline distT="0" distB="0" distL="0" distR="0" wp14:anchorId="75385C1A" wp14:editId="0E3247FC">
            <wp:extent cx="1193800" cy="819150"/>
            <wp:effectExtent l="0" t="0" r="0" b="0"/>
            <wp:docPr id="86944863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1193800" cy="819150"/>
                    </a:xfrm>
                    <a:prstGeom prst="rect">
                      <a:avLst/>
                    </a:prstGeom>
                    <a:ln/>
                  </pic:spPr>
                </pic:pic>
              </a:graphicData>
            </a:graphic>
          </wp:inline>
        </w:drawing>
      </w:r>
      <w:r>
        <w:rPr>
          <w:noProof/>
        </w:rPr>
        <w:drawing>
          <wp:anchor distT="0" distB="0" distL="114300" distR="114300" simplePos="0" relativeHeight="251658240" behindDoc="0" locked="0" layoutInCell="1" hidden="0" allowOverlap="1" wp14:anchorId="3A004FCF" wp14:editId="39029A0E">
            <wp:simplePos x="0" y="0"/>
            <wp:positionH relativeFrom="column">
              <wp:posOffset>4133215</wp:posOffset>
            </wp:positionH>
            <wp:positionV relativeFrom="paragraph">
              <wp:posOffset>0</wp:posOffset>
            </wp:positionV>
            <wp:extent cx="1003300" cy="812800"/>
            <wp:effectExtent l="0" t="0" r="0" b="0"/>
            <wp:wrapSquare wrapText="bothSides" distT="0" distB="0" distL="114300" distR="114300"/>
            <wp:docPr id="86944863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003300" cy="812800"/>
                    </a:xfrm>
                    <a:prstGeom prst="rect">
                      <a:avLst/>
                    </a:prstGeom>
                    <a:ln/>
                  </pic:spPr>
                </pic:pic>
              </a:graphicData>
            </a:graphic>
          </wp:anchor>
        </w:drawing>
      </w:r>
    </w:p>
    <w:p w14:paraId="796777CD" w14:textId="77777777" w:rsidR="009534C7" w:rsidRDefault="009534C7"/>
    <w:p w14:paraId="116BE644" w14:textId="77777777" w:rsidR="009534C7" w:rsidRDefault="00DF03F5">
      <w:pPr>
        <w:jc w:val="center"/>
        <w:rPr>
          <w:rFonts w:ascii="Arial" w:eastAsia="Arial" w:hAnsi="Arial" w:cs="Arial"/>
          <w:b/>
          <w:sz w:val="24"/>
          <w:szCs w:val="24"/>
        </w:rPr>
      </w:pPr>
      <w:r>
        <w:rPr>
          <w:rFonts w:ascii="Arial" w:eastAsia="Arial" w:hAnsi="Arial" w:cs="Arial"/>
          <w:b/>
          <w:sz w:val="24"/>
          <w:szCs w:val="24"/>
        </w:rPr>
        <w:t>PLANES GENERALES DE REFUERZO Y RECUPERACIÓN DEL DEPARTAMENTO DE LENGUA CASTELLANA Y LITERATURA DEL IES LA ALBUERA</w:t>
      </w:r>
    </w:p>
    <w:p w14:paraId="736D7CAA" w14:textId="77777777" w:rsidR="009534C7" w:rsidRDefault="00DF03F5">
      <w:pPr>
        <w:tabs>
          <w:tab w:val="left" w:pos="7230"/>
        </w:tabs>
        <w:jc w:val="center"/>
        <w:rPr>
          <w:rFonts w:ascii="Arial" w:eastAsia="Arial" w:hAnsi="Arial" w:cs="Arial"/>
          <w:b/>
          <w:sz w:val="24"/>
          <w:szCs w:val="24"/>
        </w:rPr>
      </w:pPr>
      <w:r>
        <w:rPr>
          <w:rFonts w:ascii="Arial" w:eastAsia="Arial" w:hAnsi="Arial" w:cs="Arial"/>
          <w:b/>
          <w:sz w:val="24"/>
          <w:szCs w:val="24"/>
        </w:rPr>
        <w:t>(2025-2026)</w:t>
      </w:r>
    </w:p>
    <w:p w14:paraId="4A548E47" w14:textId="77777777" w:rsidR="009534C7" w:rsidRDefault="009534C7">
      <w:pPr>
        <w:rPr>
          <w:rFonts w:ascii="Arial" w:eastAsia="Arial" w:hAnsi="Arial" w:cs="Arial"/>
          <w:sz w:val="24"/>
          <w:szCs w:val="24"/>
        </w:rPr>
      </w:pPr>
    </w:p>
    <w:p w14:paraId="28E311D6" w14:textId="77777777" w:rsidR="009534C7" w:rsidRDefault="009534C7">
      <w:pPr>
        <w:rPr>
          <w:rFonts w:ascii="Arial" w:eastAsia="Arial" w:hAnsi="Arial" w:cs="Arial"/>
          <w:sz w:val="24"/>
          <w:szCs w:val="24"/>
        </w:rPr>
      </w:pPr>
    </w:p>
    <w:tbl>
      <w:tblPr>
        <w:tblStyle w:val="a"/>
        <w:tblW w:w="10339" w:type="dxa"/>
        <w:tblInd w:w="-85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00" w:firstRow="0" w:lastRow="0" w:firstColumn="0" w:lastColumn="0" w:noHBand="0" w:noVBand="1"/>
      </w:tblPr>
      <w:tblGrid>
        <w:gridCol w:w="10339"/>
      </w:tblGrid>
      <w:tr w:rsidR="009534C7" w14:paraId="0EE1A3B2" w14:textId="77777777">
        <w:trPr>
          <w:trHeight w:val="526"/>
        </w:trPr>
        <w:tc>
          <w:tcPr>
            <w:tcW w:w="10339" w:type="dxa"/>
            <w:shd w:val="clear" w:color="auto" w:fill="B4C6E7"/>
            <w:vAlign w:val="center"/>
          </w:tcPr>
          <w:p w14:paraId="2A3002A1" w14:textId="77777777" w:rsidR="009534C7" w:rsidRDefault="00DF03F5">
            <w:pPr>
              <w:jc w:val="center"/>
              <w:rPr>
                <w:b/>
                <w:color w:val="000000"/>
                <w:sz w:val="24"/>
                <w:szCs w:val="24"/>
              </w:rPr>
            </w:pPr>
            <w:r>
              <w:rPr>
                <w:b/>
                <w:color w:val="000000"/>
                <w:sz w:val="24"/>
                <w:szCs w:val="24"/>
              </w:rPr>
              <w:t>PLANES GENERALES DE REFUERZO</w:t>
            </w:r>
          </w:p>
        </w:tc>
      </w:tr>
      <w:tr w:rsidR="009534C7" w14:paraId="34C9531A" w14:textId="77777777">
        <w:trPr>
          <w:trHeight w:val="392"/>
        </w:trPr>
        <w:tc>
          <w:tcPr>
            <w:tcW w:w="10339" w:type="dxa"/>
            <w:shd w:val="clear" w:color="auto" w:fill="D9E2F3"/>
            <w:vAlign w:val="center"/>
          </w:tcPr>
          <w:p w14:paraId="0151A8E7" w14:textId="77777777" w:rsidR="009534C7" w:rsidRDefault="00DF03F5">
            <w:pPr>
              <w:jc w:val="center"/>
              <w:rPr>
                <w:b/>
                <w:color w:val="000000"/>
                <w:sz w:val="24"/>
                <w:szCs w:val="24"/>
              </w:rPr>
            </w:pPr>
            <w:r>
              <w:rPr>
                <w:b/>
                <w:color w:val="000000"/>
                <w:sz w:val="24"/>
                <w:szCs w:val="24"/>
              </w:rPr>
              <w:t>CONSIDERACIONES GENERALES</w:t>
            </w:r>
          </w:p>
        </w:tc>
      </w:tr>
      <w:tr w:rsidR="009534C7" w14:paraId="275D3537" w14:textId="77777777">
        <w:trPr>
          <w:trHeight w:val="947"/>
        </w:trPr>
        <w:tc>
          <w:tcPr>
            <w:tcW w:w="10339" w:type="dxa"/>
            <w:vAlign w:val="center"/>
          </w:tcPr>
          <w:p w14:paraId="2A85D43B" w14:textId="77777777" w:rsidR="009534C7" w:rsidRDefault="009534C7">
            <w:pPr>
              <w:pBdr>
                <w:top w:val="nil"/>
                <w:left w:val="nil"/>
                <w:bottom w:val="nil"/>
                <w:right w:val="nil"/>
                <w:between w:val="nil"/>
              </w:pBdr>
              <w:spacing w:line="259" w:lineRule="auto"/>
              <w:ind w:left="1014"/>
              <w:jc w:val="both"/>
              <w:rPr>
                <w:color w:val="000000"/>
                <w:sz w:val="24"/>
                <w:szCs w:val="24"/>
              </w:rPr>
            </w:pPr>
          </w:p>
          <w:p w14:paraId="6B2B9ADC" w14:textId="77777777" w:rsidR="009534C7" w:rsidRDefault="00DF03F5">
            <w:pPr>
              <w:numPr>
                <w:ilvl w:val="0"/>
                <w:numId w:val="2"/>
              </w:numPr>
              <w:pBdr>
                <w:top w:val="nil"/>
                <w:left w:val="nil"/>
                <w:bottom w:val="nil"/>
                <w:right w:val="nil"/>
                <w:between w:val="nil"/>
              </w:pBdr>
              <w:spacing w:line="259" w:lineRule="auto"/>
              <w:ind w:left="588"/>
              <w:jc w:val="both"/>
              <w:rPr>
                <w:color w:val="000000"/>
                <w:sz w:val="24"/>
                <w:szCs w:val="24"/>
              </w:rPr>
            </w:pPr>
            <w:r>
              <w:rPr>
                <w:color w:val="000000"/>
                <w:sz w:val="24"/>
                <w:szCs w:val="24"/>
              </w:rPr>
              <w:t xml:space="preserve">Los </w:t>
            </w:r>
            <w:r>
              <w:rPr>
                <w:sz w:val="24"/>
                <w:szCs w:val="24"/>
              </w:rPr>
              <w:t>planes generales</w:t>
            </w:r>
            <w:r>
              <w:rPr>
                <w:color w:val="000000"/>
                <w:sz w:val="24"/>
                <w:szCs w:val="24"/>
              </w:rPr>
              <w:t xml:space="preserve"> de refuerzo van dirigidos a todo el alumnado de todos los niveles, tanto de la ESO y de los CFGB, como del Bachillerato. Corresponde al profesor del nivel que se cursa la atención a los alumnos repetidores con nuestra materia suspensa para planificar posibles actividades de refuerzo que les ayuden a alcanzar el nivel competencial exigido.</w:t>
            </w:r>
          </w:p>
          <w:p w14:paraId="02E0CDB1" w14:textId="77777777" w:rsidR="009534C7" w:rsidRDefault="00DF03F5">
            <w:pPr>
              <w:numPr>
                <w:ilvl w:val="0"/>
                <w:numId w:val="2"/>
              </w:numPr>
              <w:pBdr>
                <w:top w:val="nil"/>
                <w:left w:val="nil"/>
                <w:bottom w:val="nil"/>
                <w:right w:val="nil"/>
                <w:between w:val="nil"/>
              </w:pBdr>
              <w:spacing w:line="259" w:lineRule="auto"/>
              <w:ind w:left="588"/>
              <w:jc w:val="both"/>
              <w:rPr>
                <w:color w:val="000000"/>
                <w:sz w:val="24"/>
                <w:szCs w:val="24"/>
              </w:rPr>
            </w:pPr>
            <w:r>
              <w:rPr>
                <w:color w:val="000000"/>
                <w:sz w:val="24"/>
                <w:szCs w:val="24"/>
              </w:rPr>
              <w:t xml:space="preserve">En algunos casos concretos y, sobre todo en los dos primeros cursos de la ESO, será necesario contar con la ayuda del Departamento de Orientación y con aquellos profesores especializados para estos casos (Pedagogía Terapéutica y Compensatoria). </w:t>
            </w:r>
          </w:p>
          <w:p w14:paraId="79C5766D" w14:textId="77777777" w:rsidR="009534C7" w:rsidRDefault="009534C7" w:rsidP="002175EE">
            <w:pPr>
              <w:pBdr>
                <w:top w:val="nil"/>
                <w:left w:val="nil"/>
                <w:bottom w:val="nil"/>
                <w:right w:val="nil"/>
                <w:between w:val="nil"/>
              </w:pBdr>
              <w:ind w:left="588"/>
              <w:jc w:val="both"/>
              <w:rPr>
                <w:color w:val="000000"/>
                <w:sz w:val="24"/>
                <w:szCs w:val="24"/>
              </w:rPr>
            </w:pPr>
          </w:p>
        </w:tc>
      </w:tr>
      <w:tr w:rsidR="009534C7" w14:paraId="55A94C4E" w14:textId="77777777">
        <w:trPr>
          <w:trHeight w:val="533"/>
        </w:trPr>
        <w:tc>
          <w:tcPr>
            <w:tcW w:w="10339" w:type="dxa"/>
            <w:shd w:val="clear" w:color="auto" w:fill="D9E2F3"/>
            <w:vAlign w:val="center"/>
          </w:tcPr>
          <w:p w14:paraId="3DCF52D3" w14:textId="77777777" w:rsidR="009534C7" w:rsidRDefault="00DF03F5">
            <w:pPr>
              <w:pBdr>
                <w:top w:val="nil"/>
                <w:left w:val="nil"/>
                <w:bottom w:val="nil"/>
                <w:right w:val="nil"/>
                <w:between w:val="nil"/>
              </w:pBdr>
              <w:ind w:left="588"/>
              <w:jc w:val="center"/>
              <w:rPr>
                <w:color w:val="000000"/>
                <w:sz w:val="24"/>
                <w:szCs w:val="24"/>
              </w:rPr>
            </w:pPr>
            <w:r>
              <w:rPr>
                <w:b/>
                <w:sz w:val="24"/>
                <w:szCs w:val="24"/>
              </w:rPr>
              <w:t>DECISIONES METODOLÓGICAS Y DIDÁCTICAS</w:t>
            </w:r>
          </w:p>
        </w:tc>
      </w:tr>
      <w:tr w:rsidR="009534C7" w14:paraId="6335E712" w14:textId="77777777" w:rsidTr="002175EE">
        <w:trPr>
          <w:trHeight w:val="2940"/>
        </w:trPr>
        <w:tc>
          <w:tcPr>
            <w:tcW w:w="10339" w:type="dxa"/>
            <w:vAlign w:val="center"/>
          </w:tcPr>
          <w:p w14:paraId="5AE13C81" w14:textId="77777777" w:rsidR="009534C7" w:rsidRDefault="009534C7">
            <w:pPr>
              <w:pBdr>
                <w:top w:val="nil"/>
                <w:left w:val="nil"/>
                <w:bottom w:val="nil"/>
                <w:right w:val="nil"/>
                <w:between w:val="nil"/>
              </w:pBdr>
              <w:rPr>
                <w:rFonts w:ascii="Arial" w:eastAsia="Arial" w:hAnsi="Arial" w:cs="Arial"/>
                <w:b/>
                <w:sz w:val="24"/>
                <w:szCs w:val="24"/>
              </w:rPr>
            </w:pPr>
          </w:p>
          <w:p w14:paraId="0DDAF77C" w14:textId="77777777" w:rsidR="009534C7" w:rsidRDefault="00DF03F5">
            <w:pPr>
              <w:numPr>
                <w:ilvl w:val="0"/>
                <w:numId w:val="4"/>
              </w:numPr>
              <w:pBdr>
                <w:top w:val="nil"/>
                <w:left w:val="nil"/>
                <w:bottom w:val="nil"/>
                <w:right w:val="nil"/>
                <w:between w:val="nil"/>
              </w:pBdr>
              <w:spacing w:line="259" w:lineRule="auto"/>
              <w:ind w:left="730"/>
              <w:jc w:val="both"/>
              <w:rPr>
                <w:rFonts w:ascii="Arial" w:eastAsia="Arial" w:hAnsi="Arial" w:cs="Arial"/>
                <w:b/>
                <w:color w:val="000000"/>
                <w:sz w:val="24"/>
                <w:szCs w:val="24"/>
              </w:rPr>
            </w:pPr>
            <w:r>
              <w:rPr>
                <w:color w:val="000000"/>
                <w:sz w:val="24"/>
                <w:szCs w:val="24"/>
              </w:rPr>
              <w:t xml:space="preserve">Un </w:t>
            </w:r>
            <w:r>
              <w:rPr>
                <w:color w:val="000000"/>
                <w:sz w:val="24"/>
                <w:szCs w:val="24"/>
                <w:u w:val="single"/>
              </w:rPr>
              <w:t>enfoque comunicativo</w:t>
            </w:r>
            <w:r>
              <w:rPr>
                <w:color w:val="000000"/>
                <w:sz w:val="24"/>
                <w:szCs w:val="24"/>
              </w:rPr>
              <w:t xml:space="preserve"> como planteamiento didáctico básico para el aprendizaje y su evaluación.</w:t>
            </w:r>
          </w:p>
          <w:p w14:paraId="245502A0" w14:textId="77777777" w:rsidR="009534C7" w:rsidRDefault="00DF03F5">
            <w:pPr>
              <w:numPr>
                <w:ilvl w:val="0"/>
                <w:numId w:val="4"/>
              </w:numPr>
              <w:pBdr>
                <w:top w:val="nil"/>
                <w:left w:val="nil"/>
                <w:bottom w:val="nil"/>
                <w:right w:val="nil"/>
                <w:between w:val="nil"/>
              </w:pBdr>
              <w:spacing w:line="259" w:lineRule="auto"/>
              <w:ind w:left="730"/>
              <w:jc w:val="both"/>
              <w:rPr>
                <w:rFonts w:ascii="Arial" w:eastAsia="Arial" w:hAnsi="Arial" w:cs="Arial"/>
                <w:b/>
                <w:color w:val="000000"/>
                <w:sz w:val="24"/>
                <w:szCs w:val="24"/>
              </w:rPr>
            </w:pPr>
            <w:r>
              <w:rPr>
                <w:color w:val="000000"/>
                <w:sz w:val="24"/>
                <w:szCs w:val="24"/>
              </w:rPr>
              <w:t xml:space="preserve">Aprendizaje </w:t>
            </w:r>
            <w:r>
              <w:rPr>
                <w:color w:val="000000"/>
                <w:sz w:val="24"/>
                <w:szCs w:val="24"/>
                <w:u w:val="single"/>
              </w:rPr>
              <w:t>dialógico e interactivo</w:t>
            </w:r>
            <w:r>
              <w:rPr>
                <w:color w:val="000000"/>
                <w:sz w:val="24"/>
                <w:szCs w:val="24"/>
              </w:rPr>
              <w:t>. Es necesario contar con la cooperación del alumnado, que aporten su voz, sus reflexiones y pensamientos al propio proceso de enseñanza-aprendizaje.</w:t>
            </w:r>
          </w:p>
          <w:p w14:paraId="6C527EE7" w14:textId="77777777" w:rsidR="009534C7" w:rsidRDefault="00DF03F5">
            <w:pPr>
              <w:numPr>
                <w:ilvl w:val="0"/>
                <w:numId w:val="4"/>
              </w:numPr>
              <w:pBdr>
                <w:top w:val="nil"/>
                <w:left w:val="nil"/>
                <w:bottom w:val="nil"/>
                <w:right w:val="nil"/>
                <w:between w:val="nil"/>
              </w:pBdr>
              <w:spacing w:line="259" w:lineRule="auto"/>
              <w:ind w:left="730"/>
              <w:jc w:val="both"/>
              <w:rPr>
                <w:rFonts w:ascii="Arial" w:eastAsia="Arial" w:hAnsi="Arial" w:cs="Arial"/>
                <w:b/>
                <w:color w:val="000000"/>
                <w:sz w:val="24"/>
                <w:szCs w:val="24"/>
              </w:rPr>
            </w:pPr>
            <w:r>
              <w:rPr>
                <w:color w:val="000000"/>
                <w:sz w:val="24"/>
                <w:szCs w:val="24"/>
                <w:u w:val="single"/>
              </w:rPr>
              <w:t>Centrase en el alumno como punto de partida</w:t>
            </w:r>
            <w:r>
              <w:rPr>
                <w:color w:val="000000"/>
                <w:sz w:val="24"/>
                <w:szCs w:val="24"/>
              </w:rPr>
              <w:t xml:space="preserve"> e integrarle activamente en el desarrollo del proceso como centro de su propio aprendizaje. </w:t>
            </w:r>
          </w:p>
          <w:p w14:paraId="7E753ADB" w14:textId="17EDBD66" w:rsidR="009534C7" w:rsidRPr="002175EE" w:rsidRDefault="00DF03F5" w:rsidP="002175EE">
            <w:pPr>
              <w:numPr>
                <w:ilvl w:val="0"/>
                <w:numId w:val="4"/>
              </w:numPr>
              <w:pBdr>
                <w:top w:val="nil"/>
                <w:left w:val="nil"/>
                <w:bottom w:val="nil"/>
                <w:right w:val="nil"/>
                <w:between w:val="nil"/>
              </w:pBdr>
              <w:spacing w:line="259" w:lineRule="auto"/>
              <w:ind w:left="730"/>
              <w:jc w:val="both"/>
              <w:rPr>
                <w:rFonts w:ascii="Arial" w:eastAsia="Arial" w:hAnsi="Arial" w:cs="Arial"/>
                <w:b/>
                <w:color w:val="000000"/>
                <w:sz w:val="24"/>
                <w:szCs w:val="24"/>
                <w:u w:val="single"/>
              </w:rPr>
            </w:pPr>
            <w:r>
              <w:rPr>
                <w:color w:val="000000"/>
                <w:sz w:val="24"/>
                <w:szCs w:val="24"/>
                <w:u w:val="single"/>
              </w:rPr>
              <w:t xml:space="preserve">Participación del alumnado en la evaluación de sus logros. </w:t>
            </w:r>
          </w:p>
          <w:p w14:paraId="725FE089" w14:textId="77777777" w:rsidR="009534C7" w:rsidRDefault="009534C7">
            <w:pPr>
              <w:pBdr>
                <w:top w:val="nil"/>
                <w:left w:val="nil"/>
                <w:bottom w:val="nil"/>
                <w:right w:val="nil"/>
                <w:between w:val="nil"/>
              </w:pBdr>
              <w:rPr>
                <w:rFonts w:ascii="Arial" w:eastAsia="Arial" w:hAnsi="Arial" w:cs="Arial"/>
                <w:b/>
                <w:sz w:val="24"/>
                <w:szCs w:val="24"/>
              </w:rPr>
            </w:pPr>
          </w:p>
        </w:tc>
      </w:tr>
      <w:tr w:rsidR="009534C7" w14:paraId="4BE76D8F" w14:textId="77777777">
        <w:trPr>
          <w:trHeight w:val="399"/>
        </w:trPr>
        <w:tc>
          <w:tcPr>
            <w:tcW w:w="10339" w:type="dxa"/>
            <w:shd w:val="clear" w:color="auto" w:fill="D9E2F3"/>
            <w:vAlign w:val="center"/>
          </w:tcPr>
          <w:p w14:paraId="25EE8EC2" w14:textId="77777777" w:rsidR="009534C7" w:rsidRDefault="00DF03F5">
            <w:pPr>
              <w:pBdr>
                <w:top w:val="nil"/>
                <w:left w:val="nil"/>
                <w:bottom w:val="nil"/>
                <w:right w:val="nil"/>
                <w:between w:val="nil"/>
              </w:pBdr>
              <w:ind w:left="588"/>
              <w:jc w:val="center"/>
              <w:rPr>
                <w:b/>
                <w:sz w:val="24"/>
                <w:szCs w:val="24"/>
              </w:rPr>
            </w:pPr>
            <w:r>
              <w:rPr>
                <w:b/>
                <w:sz w:val="24"/>
                <w:szCs w:val="24"/>
              </w:rPr>
              <w:t>EVALUACIÓN</w:t>
            </w:r>
          </w:p>
        </w:tc>
      </w:tr>
      <w:tr w:rsidR="009534C7" w14:paraId="41F1A75F" w14:textId="77777777">
        <w:trPr>
          <w:trHeight w:val="399"/>
        </w:trPr>
        <w:tc>
          <w:tcPr>
            <w:tcW w:w="10339" w:type="dxa"/>
            <w:vAlign w:val="center"/>
          </w:tcPr>
          <w:p w14:paraId="0862F2ED" w14:textId="77777777" w:rsidR="009534C7" w:rsidRDefault="009534C7" w:rsidP="002175EE">
            <w:pPr>
              <w:pBdr>
                <w:top w:val="nil"/>
                <w:left w:val="nil"/>
                <w:bottom w:val="nil"/>
                <w:right w:val="nil"/>
                <w:between w:val="nil"/>
              </w:pBdr>
              <w:spacing w:line="259" w:lineRule="auto"/>
              <w:jc w:val="both"/>
              <w:rPr>
                <w:color w:val="000000"/>
                <w:sz w:val="24"/>
                <w:szCs w:val="24"/>
              </w:rPr>
            </w:pPr>
          </w:p>
          <w:p w14:paraId="570E17C2" w14:textId="77777777" w:rsidR="009534C7" w:rsidRDefault="00DF03F5">
            <w:pPr>
              <w:numPr>
                <w:ilvl w:val="0"/>
                <w:numId w:val="5"/>
              </w:numPr>
              <w:pBdr>
                <w:top w:val="nil"/>
                <w:left w:val="nil"/>
                <w:bottom w:val="nil"/>
                <w:right w:val="nil"/>
                <w:between w:val="nil"/>
              </w:pBdr>
              <w:spacing w:line="259" w:lineRule="auto"/>
              <w:ind w:left="730" w:hanging="360"/>
              <w:jc w:val="both"/>
              <w:rPr>
                <w:color w:val="000000"/>
                <w:sz w:val="24"/>
                <w:szCs w:val="24"/>
              </w:rPr>
            </w:pPr>
            <w:r>
              <w:rPr>
                <w:color w:val="000000"/>
                <w:sz w:val="24"/>
                <w:szCs w:val="24"/>
                <w:u w:val="single"/>
              </w:rPr>
              <w:t>Evaluación diagnóstica:</w:t>
            </w:r>
            <w:r>
              <w:rPr>
                <w:color w:val="000000"/>
                <w:sz w:val="24"/>
                <w:szCs w:val="24"/>
              </w:rPr>
              <w:t xml:space="preserve"> comprobar los conocimientos, habilidades y actitudes previas necesarias para el inicio del proceso de aprendizaje que hemos planeado.</w:t>
            </w:r>
          </w:p>
          <w:p w14:paraId="52B24704" w14:textId="77777777" w:rsidR="009534C7" w:rsidRDefault="00DF03F5">
            <w:pPr>
              <w:numPr>
                <w:ilvl w:val="0"/>
                <w:numId w:val="5"/>
              </w:numPr>
              <w:pBdr>
                <w:top w:val="nil"/>
                <w:left w:val="nil"/>
                <w:bottom w:val="nil"/>
                <w:right w:val="nil"/>
                <w:between w:val="nil"/>
              </w:pBdr>
              <w:spacing w:line="259" w:lineRule="auto"/>
              <w:ind w:left="730" w:hanging="360"/>
              <w:jc w:val="both"/>
              <w:rPr>
                <w:color w:val="000000"/>
                <w:sz w:val="24"/>
                <w:szCs w:val="24"/>
              </w:rPr>
            </w:pPr>
            <w:r>
              <w:rPr>
                <w:color w:val="000000"/>
                <w:sz w:val="24"/>
                <w:szCs w:val="24"/>
                <w:u w:val="single"/>
              </w:rPr>
              <w:t>Evaluación formativa:</w:t>
            </w:r>
            <w:r>
              <w:rPr>
                <w:color w:val="000000"/>
                <w:sz w:val="24"/>
                <w:szCs w:val="24"/>
              </w:rPr>
              <w:t xml:space="preserve"> nos permite determinar el grado de adquisición de las competencias y los objetivos educativos y conocer aciertos, errores y lagunas que permita a profesores y alumnos </w:t>
            </w:r>
            <w:r>
              <w:rPr>
                <w:color w:val="000000"/>
                <w:sz w:val="24"/>
                <w:szCs w:val="24"/>
              </w:rPr>
              <w:lastRenderedPageBreak/>
              <w:t>reconducir nuestras futuras actuaciones en la planificación y desarrollo de los sucesivos procesos de enseñanza-aprendizaje.</w:t>
            </w:r>
          </w:p>
          <w:p w14:paraId="73CAB0E8" w14:textId="30BC3A54" w:rsidR="009534C7" w:rsidRPr="002175EE" w:rsidRDefault="00DF03F5" w:rsidP="002175EE">
            <w:pPr>
              <w:numPr>
                <w:ilvl w:val="0"/>
                <w:numId w:val="5"/>
              </w:numPr>
              <w:pBdr>
                <w:top w:val="nil"/>
                <w:left w:val="nil"/>
                <w:bottom w:val="nil"/>
                <w:right w:val="nil"/>
                <w:between w:val="nil"/>
              </w:pBdr>
              <w:spacing w:line="259" w:lineRule="auto"/>
              <w:ind w:left="730" w:hanging="360"/>
              <w:jc w:val="both"/>
              <w:rPr>
                <w:rFonts w:ascii="Arial" w:eastAsia="Arial" w:hAnsi="Arial" w:cs="Arial"/>
                <w:b/>
                <w:color w:val="000000"/>
                <w:sz w:val="24"/>
                <w:szCs w:val="24"/>
              </w:rPr>
            </w:pPr>
            <w:r>
              <w:rPr>
                <w:color w:val="000000"/>
                <w:sz w:val="24"/>
                <w:szCs w:val="24"/>
                <w:u w:val="single"/>
              </w:rPr>
              <w:t>Evaluación sumativa:</w:t>
            </w:r>
            <w:r>
              <w:rPr>
                <w:color w:val="000000"/>
                <w:sz w:val="24"/>
                <w:szCs w:val="24"/>
              </w:rPr>
              <w:t xml:space="preserve"> su finalidad es la asignación a los alumnos de puntuaciones o calificaciones como certificación de determinados niveles de adquisición.</w:t>
            </w:r>
          </w:p>
        </w:tc>
      </w:tr>
    </w:tbl>
    <w:p w14:paraId="03BD55AE" w14:textId="77777777" w:rsidR="009534C7" w:rsidRDefault="009534C7">
      <w:pPr>
        <w:jc w:val="center"/>
        <w:rPr>
          <w:rFonts w:ascii="Arial" w:eastAsia="Arial" w:hAnsi="Arial" w:cs="Arial"/>
          <w:b/>
          <w:sz w:val="24"/>
          <w:szCs w:val="24"/>
        </w:rPr>
      </w:pPr>
    </w:p>
    <w:tbl>
      <w:tblPr>
        <w:tblStyle w:val="a0"/>
        <w:tblW w:w="10215" w:type="dxa"/>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20"/>
        <w:gridCol w:w="7395"/>
      </w:tblGrid>
      <w:tr w:rsidR="009534C7" w14:paraId="5D03F15B" w14:textId="77777777" w:rsidTr="003E4A89">
        <w:trPr>
          <w:trHeight w:val="855"/>
        </w:trPr>
        <w:tc>
          <w:tcPr>
            <w:tcW w:w="10215" w:type="dxa"/>
            <w:gridSpan w:val="2"/>
            <w:tcBorders>
              <w:top w:val="single" w:sz="12" w:space="0" w:color="000000"/>
              <w:left w:val="single" w:sz="12" w:space="0" w:color="000000"/>
              <w:bottom w:val="single" w:sz="12" w:space="0" w:color="000000"/>
              <w:right w:val="single" w:sz="12" w:space="0" w:color="000000"/>
            </w:tcBorders>
            <w:shd w:val="clear" w:color="auto" w:fill="B4C6E7"/>
            <w:vAlign w:val="center"/>
          </w:tcPr>
          <w:p w14:paraId="118CAE35" w14:textId="77777777" w:rsidR="009534C7" w:rsidRDefault="00DF03F5">
            <w:pPr>
              <w:jc w:val="center"/>
              <w:rPr>
                <w:b/>
                <w:color w:val="000000"/>
                <w:sz w:val="24"/>
                <w:szCs w:val="24"/>
              </w:rPr>
            </w:pPr>
            <w:r>
              <w:rPr>
                <w:b/>
                <w:color w:val="000000"/>
                <w:sz w:val="24"/>
                <w:szCs w:val="24"/>
              </w:rPr>
              <w:t>PLANES GENERALES DE RECUPERACIÓN</w:t>
            </w:r>
          </w:p>
        </w:tc>
      </w:tr>
      <w:tr w:rsidR="009534C7" w14:paraId="3FD9535B" w14:textId="77777777" w:rsidTr="003E4A89">
        <w:trPr>
          <w:trHeight w:val="4652"/>
        </w:trPr>
        <w:tc>
          <w:tcPr>
            <w:tcW w:w="10215" w:type="dxa"/>
            <w:gridSpan w:val="2"/>
            <w:tcBorders>
              <w:top w:val="single" w:sz="12" w:space="0" w:color="000000"/>
              <w:left w:val="single" w:sz="12" w:space="0" w:color="000000"/>
              <w:bottom w:val="single" w:sz="12" w:space="0" w:color="000000"/>
              <w:right w:val="single" w:sz="12" w:space="0" w:color="000000"/>
            </w:tcBorders>
            <w:vAlign w:val="center"/>
          </w:tcPr>
          <w:p w14:paraId="7B4F228C" w14:textId="2A12870A" w:rsidR="009534C7" w:rsidRPr="003E4A89" w:rsidRDefault="00DF03F5" w:rsidP="003E4A89">
            <w:pPr>
              <w:numPr>
                <w:ilvl w:val="0"/>
                <w:numId w:val="2"/>
              </w:numPr>
              <w:pBdr>
                <w:top w:val="nil"/>
                <w:left w:val="nil"/>
                <w:bottom w:val="nil"/>
                <w:right w:val="nil"/>
                <w:between w:val="nil"/>
              </w:pBdr>
              <w:spacing w:line="259" w:lineRule="auto"/>
              <w:ind w:left="588"/>
              <w:jc w:val="both"/>
              <w:rPr>
                <w:color w:val="000000"/>
                <w:sz w:val="24"/>
                <w:szCs w:val="24"/>
              </w:rPr>
            </w:pPr>
            <w:r w:rsidRPr="003E4A89">
              <w:rPr>
                <w:color w:val="000000"/>
                <w:sz w:val="24"/>
                <w:szCs w:val="24"/>
              </w:rPr>
              <w:t xml:space="preserve">Corresponde al profesorado del nivel que se cursa la atención al alumnado con la asignatura pendiente de cursos anteriores para planificar posibles actividades de recuperación y profundización. </w:t>
            </w:r>
          </w:p>
          <w:p w14:paraId="25ED43AE" w14:textId="77777777" w:rsidR="009534C7" w:rsidRDefault="00DF03F5">
            <w:pPr>
              <w:numPr>
                <w:ilvl w:val="0"/>
                <w:numId w:val="2"/>
              </w:numPr>
              <w:pBdr>
                <w:top w:val="nil"/>
                <w:left w:val="nil"/>
                <w:bottom w:val="nil"/>
                <w:right w:val="nil"/>
                <w:between w:val="nil"/>
              </w:pBdr>
              <w:spacing w:line="259" w:lineRule="auto"/>
              <w:ind w:left="588"/>
              <w:jc w:val="both"/>
              <w:rPr>
                <w:rFonts w:ascii="Arial" w:eastAsia="Arial" w:hAnsi="Arial" w:cs="Arial"/>
                <w:b/>
                <w:color w:val="000000"/>
                <w:sz w:val="24"/>
                <w:szCs w:val="24"/>
              </w:rPr>
            </w:pPr>
            <w:r>
              <w:rPr>
                <w:color w:val="000000"/>
                <w:sz w:val="24"/>
                <w:szCs w:val="24"/>
              </w:rPr>
              <w:t xml:space="preserve">Si el alumno o alumna va superando los criterios de evaluación de la materia del nivel superior que cursa, de manera que le permitan adquirir el nivel competencial exigido, podrá considerarse aprobado o aprobada tras </w:t>
            </w:r>
            <w:r>
              <w:rPr>
                <w:sz w:val="24"/>
                <w:szCs w:val="24"/>
              </w:rPr>
              <w:t>superar</w:t>
            </w:r>
            <w:r>
              <w:rPr>
                <w:color w:val="000000"/>
                <w:sz w:val="24"/>
                <w:szCs w:val="24"/>
              </w:rPr>
              <w:t xml:space="preserve"> la segunda evaluación. Además, se podrán planificar actividades para que este alumnado pueda obtener resultados superiores al aprobado.</w:t>
            </w:r>
          </w:p>
          <w:p w14:paraId="1A4A3691" w14:textId="77777777" w:rsidR="009534C7" w:rsidRDefault="00DF03F5">
            <w:pPr>
              <w:numPr>
                <w:ilvl w:val="0"/>
                <w:numId w:val="2"/>
              </w:numPr>
              <w:pBdr>
                <w:top w:val="nil"/>
                <w:left w:val="nil"/>
                <w:bottom w:val="nil"/>
                <w:right w:val="nil"/>
                <w:between w:val="nil"/>
              </w:pBdr>
              <w:spacing w:line="259" w:lineRule="auto"/>
              <w:ind w:left="588"/>
              <w:jc w:val="both"/>
              <w:rPr>
                <w:color w:val="000000"/>
                <w:sz w:val="28"/>
                <w:szCs w:val="28"/>
              </w:rPr>
            </w:pPr>
            <w:r>
              <w:rPr>
                <w:color w:val="000000"/>
                <w:sz w:val="24"/>
                <w:szCs w:val="24"/>
              </w:rPr>
              <w:t>En caso contrario, su profesor o profesora llevará a cabo un plan de recuperación individual que permita superar los criterios de evaluación y adquirir el nivel competencial de la materia que tiene suspensa del curso anterior.</w:t>
            </w:r>
          </w:p>
          <w:p w14:paraId="4B921FC3" w14:textId="1975B51F" w:rsidR="009534C7" w:rsidRPr="003E4A89" w:rsidRDefault="00DF03F5" w:rsidP="003E4A89">
            <w:pPr>
              <w:numPr>
                <w:ilvl w:val="0"/>
                <w:numId w:val="2"/>
              </w:numPr>
              <w:pBdr>
                <w:top w:val="nil"/>
                <w:left w:val="nil"/>
                <w:bottom w:val="nil"/>
                <w:right w:val="nil"/>
                <w:between w:val="nil"/>
              </w:pBdr>
              <w:spacing w:line="259" w:lineRule="auto"/>
              <w:ind w:left="588"/>
              <w:jc w:val="both"/>
              <w:rPr>
                <w:color w:val="000000"/>
                <w:sz w:val="24"/>
                <w:szCs w:val="24"/>
              </w:rPr>
            </w:pPr>
            <w:r>
              <w:rPr>
                <w:color w:val="000000"/>
                <w:sz w:val="24"/>
                <w:szCs w:val="24"/>
              </w:rPr>
              <w:t>En algunos casos concretos y, sobre todo en los dos primeros cursos de la ESO, será necesario contar con la ayuda del Departamento de Orientación y con aquellos profesores especializados para tales casos (Pedagogía Terapéutica y Compensatoria).</w:t>
            </w:r>
          </w:p>
        </w:tc>
      </w:tr>
      <w:tr w:rsidR="009534C7" w14:paraId="5E42A31F" w14:textId="77777777">
        <w:trPr>
          <w:trHeight w:val="391"/>
        </w:trPr>
        <w:tc>
          <w:tcPr>
            <w:tcW w:w="2820" w:type="dxa"/>
            <w:tcBorders>
              <w:top w:val="single" w:sz="12" w:space="0" w:color="000000"/>
              <w:left w:val="single" w:sz="12" w:space="0" w:color="000000"/>
              <w:bottom w:val="single" w:sz="12" w:space="0" w:color="000000"/>
              <w:right w:val="single" w:sz="12" w:space="0" w:color="000000"/>
            </w:tcBorders>
            <w:shd w:val="clear" w:color="auto" w:fill="DEEBF6"/>
            <w:vAlign w:val="center"/>
          </w:tcPr>
          <w:p w14:paraId="0F5FA9E5" w14:textId="77777777" w:rsidR="009534C7" w:rsidRDefault="009534C7">
            <w:pPr>
              <w:jc w:val="center"/>
              <w:rPr>
                <w:b/>
                <w:sz w:val="24"/>
                <w:szCs w:val="24"/>
              </w:rPr>
            </w:pPr>
          </w:p>
          <w:p w14:paraId="640575E1" w14:textId="77777777" w:rsidR="009534C7" w:rsidRDefault="009534C7">
            <w:pPr>
              <w:jc w:val="center"/>
              <w:rPr>
                <w:b/>
                <w:sz w:val="24"/>
                <w:szCs w:val="24"/>
              </w:rPr>
            </w:pPr>
          </w:p>
          <w:p w14:paraId="408821B7" w14:textId="77777777" w:rsidR="009534C7" w:rsidRDefault="00DF03F5">
            <w:pPr>
              <w:jc w:val="center"/>
              <w:rPr>
                <w:b/>
                <w:sz w:val="24"/>
                <w:szCs w:val="24"/>
              </w:rPr>
            </w:pPr>
            <w:r>
              <w:rPr>
                <w:b/>
                <w:sz w:val="24"/>
                <w:szCs w:val="24"/>
              </w:rPr>
              <w:t>2º- 4º ESO</w:t>
            </w:r>
          </w:p>
        </w:tc>
        <w:tc>
          <w:tcPr>
            <w:tcW w:w="7395" w:type="dxa"/>
            <w:tcBorders>
              <w:top w:val="single" w:sz="12" w:space="0" w:color="000000"/>
              <w:left w:val="single" w:sz="12" w:space="0" w:color="000000"/>
              <w:right w:val="single" w:sz="12" w:space="0" w:color="000000"/>
            </w:tcBorders>
          </w:tcPr>
          <w:p w14:paraId="41822F50" w14:textId="77777777" w:rsidR="009534C7" w:rsidRDefault="009534C7">
            <w:pPr>
              <w:jc w:val="both"/>
              <w:rPr>
                <w:sz w:val="24"/>
                <w:szCs w:val="24"/>
              </w:rPr>
            </w:pPr>
          </w:p>
          <w:p w14:paraId="464EF610" w14:textId="690FDFF1" w:rsidR="009534C7" w:rsidRPr="002175EE" w:rsidRDefault="00DF03F5" w:rsidP="002175EE">
            <w:pPr>
              <w:numPr>
                <w:ilvl w:val="0"/>
                <w:numId w:val="6"/>
              </w:numPr>
              <w:pBdr>
                <w:top w:val="nil"/>
                <w:left w:val="nil"/>
                <w:bottom w:val="nil"/>
                <w:right w:val="nil"/>
                <w:between w:val="nil"/>
              </w:pBdr>
              <w:spacing w:after="160" w:line="259" w:lineRule="auto"/>
              <w:ind w:left="320"/>
              <w:jc w:val="both"/>
              <w:rPr>
                <w:color w:val="000000"/>
                <w:sz w:val="24"/>
                <w:szCs w:val="24"/>
              </w:rPr>
            </w:pPr>
            <w:r>
              <w:rPr>
                <w:color w:val="000000"/>
                <w:sz w:val="24"/>
                <w:szCs w:val="24"/>
              </w:rPr>
              <w:t>Se podrá realizar, como último recurso, un examen final de la materia pendiente del curso anterior antes de que termine el curso actual, si no hubiese alcanzado las competencias al acabar la 2.ª evaluación.</w:t>
            </w:r>
          </w:p>
        </w:tc>
      </w:tr>
      <w:tr w:rsidR="009534C7" w14:paraId="76629EF9" w14:textId="77777777">
        <w:trPr>
          <w:trHeight w:val="958"/>
        </w:trPr>
        <w:tc>
          <w:tcPr>
            <w:tcW w:w="2820" w:type="dxa"/>
            <w:tcBorders>
              <w:top w:val="single" w:sz="12" w:space="0" w:color="000000"/>
              <w:left w:val="single" w:sz="12" w:space="0" w:color="000000"/>
              <w:bottom w:val="single" w:sz="12" w:space="0" w:color="000000"/>
              <w:right w:val="single" w:sz="12" w:space="0" w:color="000000"/>
            </w:tcBorders>
            <w:shd w:val="clear" w:color="auto" w:fill="DEEBF6"/>
            <w:vAlign w:val="center"/>
          </w:tcPr>
          <w:p w14:paraId="3D78B7E6" w14:textId="77777777" w:rsidR="009534C7" w:rsidRDefault="00DF03F5">
            <w:pPr>
              <w:jc w:val="center"/>
              <w:rPr>
                <w:b/>
                <w:sz w:val="24"/>
                <w:szCs w:val="24"/>
              </w:rPr>
            </w:pPr>
            <w:r>
              <w:rPr>
                <w:b/>
                <w:sz w:val="24"/>
                <w:szCs w:val="24"/>
              </w:rPr>
              <w:t>2º BACHILLERATO</w:t>
            </w:r>
          </w:p>
        </w:tc>
        <w:tc>
          <w:tcPr>
            <w:tcW w:w="7395" w:type="dxa"/>
            <w:tcBorders>
              <w:left w:val="single" w:sz="12" w:space="0" w:color="000000"/>
              <w:bottom w:val="single" w:sz="12" w:space="0" w:color="000000"/>
              <w:right w:val="single" w:sz="12" w:space="0" w:color="000000"/>
            </w:tcBorders>
          </w:tcPr>
          <w:p w14:paraId="6E0CA6A9" w14:textId="62457867" w:rsidR="009534C7" w:rsidRPr="002175EE" w:rsidRDefault="00DF03F5" w:rsidP="002175EE">
            <w:pPr>
              <w:numPr>
                <w:ilvl w:val="0"/>
                <w:numId w:val="6"/>
              </w:numPr>
              <w:pBdr>
                <w:top w:val="nil"/>
                <w:left w:val="nil"/>
                <w:bottom w:val="nil"/>
                <w:right w:val="nil"/>
                <w:between w:val="nil"/>
              </w:pBdr>
              <w:spacing w:after="160" w:line="259" w:lineRule="auto"/>
              <w:ind w:left="320"/>
              <w:jc w:val="both"/>
              <w:rPr>
                <w:color w:val="000000"/>
                <w:sz w:val="24"/>
                <w:szCs w:val="24"/>
              </w:rPr>
            </w:pPr>
            <w:r>
              <w:rPr>
                <w:color w:val="000000"/>
                <w:sz w:val="24"/>
                <w:szCs w:val="24"/>
              </w:rPr>
              <w:t>Se podrá realizar, como último recurso, un examen final de la materia pendiente del curso anterior antes de que termine el curso actual, si no hubiese alcanzado las competencias al acabar la 2.ª evaluación.</w:t>
            </w:r>
          </w:p>
        </w:tc>
      </w:tr>
      <w:tr w:rsidR="009534C7" w14:paraId="75FDD306" w14:textId="77777777">
        <w:trPr>
          <w:trHeight w:val="1755"/>
        </w:trPr>
        <w:tc>
          <w:tcPr>
            <w:tcW w:w="2820" w:type="dxa"/>
            <w:tcBorders>
              <w:top w:val="single" w:sz="12" w:space="0" w:color="000000"/>
              <w:left w:val="single" w:sz="12" w:space="0" w:color="000000"/>
              <w:bottom w:val="single" w:sz="12" w:space="0" w:color="000000"/>
              <w:right w:val="single" w:sz="12" w:space="0" w:color="000000"/>
            </w:tcBorders>
            <w:shd w:val="clear" w:color="auto" w:fill="DEEBF6"/>
            <w:vAlign w:val="center"/>
          </w:tcPr>
          <w:p w14:paraId="4079A0C8" w14:textId="77777777" w:rsidR="009534C7" w:rsidRDefault="00DF03F5">
            <w:pPr>
              <w:jc w:val="center"/>
              <w:rPr>
                <w:b/>
                <w:sz w:val="24"/>
                <w:szCs w:val="24"/>
              </w:rPr>
            </w:pPr>
            <w:r>
              <w:rPr>
                <w:b/>
                <w:sz w:val="24"/>
                <w:szCs w:val="24"/>
              </w:rPr>
              <w:t>CFGB</w:t>
            </w:r>
          </w:p>
        </w:tc>
        <w:tc>
          <w:tcPr>
            <w:tcW w:w="7395" w:type="dxa"/>
            <w:tcBorders>
              <w:top w:val="single" w:sz="12" w:space="0" w:color="000000"/>
              <w:left w:val="single" w:sz="12" w:space="0" w:color="000000"/>
              <w:bottom w:val="single" w:sz="12" w:space="0" w:color="000000"/>
              <w:right w:val="single" w:sz="12" w:space="0" w:color="000000"/>
            </w:tcBorders>
          </w:tcPr>
          <w:p w14:paraId="1519E8E8" w14:textId="77777777" w:rsidR="009534C7" w:rsidRDefault="009534C7">
            <w:pPr>
              <w:ind w:left="566"/>
              <w:rPr>
                <w:sz w:val="24"/>
                <w:szCs w:val="24"/>
              </w:rPr>
            </w:pPr>
          </w:p>
          <w:p w14:paraId="1E08D45D" w14:textId="0D9CCC6C" w:rsidR="009534C7" w:rsidRDefault="00DF03F5">
            <w:pPr>
              <w:numPr>
                <w:ilvl w:val="0"/>
                <w:numId w:val="1"/>
              </w:numPr>
              <w:rPr>
                <w:sz w:val="24"/>
                <w:szCs w:val="24"/>
              </w:rPr>
            </w:pPr>
            <w:r>
              <w:rPr>
                <w:sz w:val="24"/>
                <w:szCs w:val="24"/>
              </w:rPr>
              <w:t>Asignatura pendiente de primero en segundo: aprobando segundo recupera primero</w:t>
            </w:r>
            <w:r w:rsidR="003E4A89">
              <w:rPr>
                <w:sz w:val="24"/>
                <w:szCs w:val="24"/>
              </w:rPr>
              <w:t xml:space="preserve"> (hablar con la profesora de inglés).</w:t>
            </w:r>
            <w:r w:rsidR="00D021CA">
              <w:rPr>
                <w:sz w:val="24"/>
                <w:szCs w:val="24"/>
              </w:rPr>
              <w:t xml:space="preserve"> </w:t>
            </w:r>
            <w:proofErr w:type="gramStart"/>
            <w:r w:rsidR="003E4A89">
              <w:rPr>
                <w:sz w:val="24"/>
                <w:szCs w:val="24"/>
              </w:rPr>
              <w:t>E</w:t>
            </w:r>
            <w:r>
              <w:rPr>
                <w:sz w:val="24"/>
                <w:szCs w:val="24"/>
              </w:rPr>
              <w:t>n</w:t>
            </w:r>
            <w:proofErr w:type="gramEnd"/>
            <w:r>
              <w:rPr>
                <w:sz w:val="24"/>
                <w:szCs w:val="24"/>
              </w:rPr>
              <w:t xml:space="preserve"> caso de suspender segundo tendría derecho a una prueba para recuperar independientemente de tener que repetir segundo. </w:t>
            </w:r>
          </w:p>
          <w:p w14:paraId="53C7C395" w14:textId="77777777" w:rsidR="009534C7" w:rsidRDefault="009534C7">
            <w:pPr>
              <w:ind w:left="566"/>
              <w:rPr>
                <w:sz w:val="24"/>
                <w:szCs w:val="24"/>
              </w:rPr>
            </w:pPr>
          </w:p>
          <w:p w14:paraId="31A71621" w14:textId="77777777" w:rsidR="009534C7" w:rsidRDefault="00DF03F5">
            <w:pPr>
              <w:numPr>
                <w:ilvl w:val="0"/>
                <w:numId w:val="1"/>
              </w:numPr>
              <w:rPr>
                <w:sz w:val="24"/>
                <w:szCs w:val="24"/>
              </w:rPr>
            </w:pPr>
            <w:r>
              <w:rPr>
                <w:sz w:val="24"/>
                <w:szCs w:val="24"/>
              </w:rPr>
              <w:t>Para recuperar evaluaciones suspensas: se hará una recuperación al principio de la siguiente evaluación (tareas a entregar o prueba escrita/oral trabajo) en caso de no conseguirlo, tendrán otra oportunidad con una prueba escrita en junio y la convocatoria extraordinaria.</w:t>
            </w:r>
          </w:p>
          <w:p w14:paraId="52A7448E" w14:textId="77777777" w:rsidR="009534C7" w:rsidRDefault="009534C7" w:rsidP="003E4A89">
            <w:pPr>
              <w:rPr>
                <w:sz w:val="24"/>
                <w:szCs w:val="24"/>
              </w:rPr>
            </w:pPr>
          </w:p>
        </w:tc>
      </w:tr>
    </w:tbl>
    <w:p w14:paraId="25958C69" w14:textId="77777777" w:rsidR="009534C7" w:rsidRDefault="009534C7" w:rsidP="003E4A89">
      <w:pPr>
        <w:jc w:val="center"/>
        <w:rPr>
          <w:rFonts w:ascii="Arial" w:eastAsia="Arial" w:hAnsi="Arial" w:cs="Arial"/>
          <w:sz w:val="24"/>
          <w:szCs w:val="24"/>
        </w:rPr>
      </w:pPr>
    </w:p>
    <w:sectPr w:rsidR="009534C7">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89149A"/>
    <w:multiLevelType w:val="multilevel"/>
    <w:tmpl w:val="17BABEB2"/>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 w15:restartNumberingAfterBreak="0">
    <w:nsid w:val="2AE83542"/>
    <w:multiLevelType w:val="multilevel"/>
    <w:tmpl w:val="E1C28AE4"/>
    <w:lvl w:ilvl="0">
      <w:start w:val="1"/>
      <w:numFmt w:val="bullet"/>
      <w:lvlText w:val="●"/>
      <w:lvlJc w:val="left"/>
      <w:pPr>
        <w:ind w:left="2149" w:hanging="360"/>
      </w:pPr>
      <w:rPr>
        <w:rFonts w:ascii="Noto Sans Symbols" w:eastAsia="Noto Sans Symbols" w:hAnsi="Noto Sans Symbols" w:cs="Noto Sans Symbols"/>
      </w:rPr>
    </w:lvl>
    <w:lvl w:ilvl="1">
      <w:start w:val="1"/>
      <w:numFmt w:val="bullet"/>
      <w:lvlText w:val="o"/>
      <w:lvlJc w:val="left"/>
      <w:pPr>
        <w:ind w:left="2869" w:hanging="360"/>
      </w:pPr>
      <w:rPr>
        <w:rFonts w:ascii="Courier New" w:eastAsia="Courier New" w:hAnsi="Courier New" w:cs="Courier New"/>
      </w:rPr>
    </w:lvl>
    <w:lvl w:ilvl="2">
      <w:start w:val="1"/>
      <w:numFmt w:val="bullet"/>
      <w:lvlText w:val="▪"/>
      <w:lvlJc w:val="left"/>
      <w:pPr>
        <w:ind w:left="3589" w:hanging="360"/>
      </w:pPr>
      <w:rPr>
        <w:rFonts w:ascii="Noto Sans Symbols" w:eastAsia="Noto Sans Symbols" w:hAnsi="Noto Sans Symbols" w:cs="Noto Sans Symbols"/>
      </w:rPr>
    </w:lvl>
    <w:lvl w:ilvl="3">
      <w:start w:val="1"/>
      <w:numFmt w:val="bullet"/>
      <w:lvlText w:val="●"/>
      <w:lvlJc w:val="left"/>
      <w:pPr>
        <w:ind w:left="4309" w:hanging="360"/>
      </w:pPr>
      <w:rPr>
        <w:rFonts w:ascii="Noto Sans Symbols" w:eastAsia="Noto Sans Symbols" w:hAnsi="Noto Sans Symbols" w:cs="Noto Sans Symbols"/>
      </w:rPr>
    </w:lvl>
    <w:lvl w:ilvl="4">
      <w:start w:val="1"/>
      <w:numFmt w:val="bullet"/>
      <w:lvlText w:val="o"/>
      <w:lvlJc w:val="left"/>
      <w:pPr>
        <w:ind w:left="5029" w:hanging="360"/>
      </w:pPr>
      <w:rPr>
        <w:rFonts w:ascii="Courier New" w:eastAsia="Courier New" w:hAnsi="Courier New" w:cs="Courier New"/>
      </w:rPr>
    </w:lvl>
    <w:lvl w:ilvl="5">
      <w:start w:val="1"/>
      <w:numFmt w:val="bullet"/>
      <w:lvlText w:val="▪"/>
      <w:lvlJc w:val="left"/>
      <w:pPr>
        <w:ind w:left="5749" w:hanging="360"/>
      </w:pPr>
      <w:rPr>
        <w:rFonts w:ascii="Noto Sans Symbols" w:eastAsia="Noto Sans Symbols" w:hAnsi="Noto Sans Symbols" w:cs="Noto Sans Symbols"/>
      </w:rPr>
    </w:lvl>
    <w:lvl w:ilvl="6">
      <w:start w:val="1"/>
      <w:numFmt w:val="bullet"/>
      <w:lvlText w:val="●"/>
      <w:lvlJc w:val="left"/>
      <w:pPr>
        <w:ind w:left="6469" w:hanging="360"/>
      </w:pPr>
      <w:rPr>
        <w:rFonts w:ascii="Noto Sans Symbols" w:eastAsia="Noto Sans Symbols" w:hAnsi="Noto Sans Symbols" w:cs="Noto Sans Symbols"/>
      </w:rPr>
    </w:lvl>
    <w:lvl w:ilvl="7">
      <w:start w:val="1"/>
      <w:numFmt w:val="bullet"/>
      <w:lvlText w:val="o"/>
      <w:lvlJc w:val="left"/>
      <w:pPr>
        <w:ind w:left="7189" w:hanging="360"/>
      </w:pPr>
      <w:rPr>
        <w:rFonts w:ascii="Courier New" w:eastAsia="Courier New" w:hAnsi="Courier New" w:cs="Courier New"/>
      </w:rPr>
    </w:lvl>
    <w:lvl w:ilvl="8">
      <w:start w:val="1"/>
      <w:numFmt w:val="bullet"/>
      <w:lvlText w:val="▪"/>
      <w:lvlJc w:val="left"/>
      <w:pPr>
        <w:ind w:left="7909" w:hanging="360"/>
      </w:pPr>
      <w:rPr>
        <w:rFonts w:ascii="Noto Sans Symbols" w:eastAsia="Noto Sans Symbols" w:hAnsi="Noto Sans Symbols" w:cs="Noto Sans Symbols"/>
      </w:rPr>
    </w:lvl>
  </w:abstractNum>
  <w:abstractNum w:abstractNumId="2" w15:restartNumberingAfterBreak="0">
    <w:nsid w:val="35890628"/>
    <w:multiLevelType w:val="multilevel"/>
    <w:tmpl w:val="BAD4C72A"/>
    <w:lvl w:ilvl="0">
      <w:start w:val="1"/>
      <w:numFmt w:val="bullet"/>
      <w:lvlText w:val="●"/>
      <w:lvlJc w:val="left"/>
      <w:pPr>
        <w:ind w:left="566" w:hanging="585"/>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C67012D"/>
    <w:multiLevelType w:val="multilevel"/>
    <w:tmpl w:val="899A67E2"/>
    <w:lvl w:ilvl="0">
      <w:start w:val="1"/>
      <w:numFmt w:val="bullet"/>
      <w:lvlText w:val="✔"/>
      <w:lvlJc w:val="left"/>
      <w:pPr>
        <w:ind w:left="1308" w:hanging="359"/>
      </w:pPr>
      <w:rPr>
        <w:rFonts w:ascii="Noto Sans Symbols" w:eastAsia="Noto Sans Symbols" w:hAnsi="Noto Sans Symbols" w:cs="Noto Sans Symbols"/>
      </w:rPr>
    </w:lvl>
    <w:lvl w:ilvl="1">
      <w:start w:val="1"/>
      <w:numFmt w:val="bullet"/>
      <w:lvlText w:val="o"/>
      <w:lvlJc w:val="left"/>
      <w:pPr>
        <w:ind w:left="2028" w:hanging="360"/>
      </w:pPr>
      <w:rPr>
        <w:rFonts w:ascii="Courier New" w:eastAsia="Courier New" w:hAnsi="Courier New" w:cs="Courier New"/>
      </w:rPr>
    </w:lvl>
    <w:lvl w:ilvl="2">
      <w:start w:val="1"/>
      <w:numFmt w:val="bullet"/>
      <w:lvlText w:val="▪"/>
      <w:lvlJc w:val="left"/>
      <w:pPr>
        <w:ind w:left="2748" w:hanging="360"/>
      </w:pPr>
      <w:rPr>
        <w:rFonts w:ascii="Noto Sans Symbols" w:eastAsia="Noto Sans Symbols" w:hAnsi="Noto Sans Symbols" w:cs="Noto Sans Symbols"/>
      </w:rPr>
    </w:lvl>
    <w:lvl w:ilvl="3">
      <w:start w:val="1"/>
      <w:numFmt w:val="bullet"/>
      <w:lvlText w:val="●"/>
      <w:lvlJc w:val="left"/>
      <w:pPr>
        <w:ind w:left="3468" w:hanging="360"/>
      </w:pPr>
      <w:rPr>
        <w:rFonts w:ascii="Noto Sans Symbols" w:eastAsia="Noto Sans Symbols" w:hAnsi="Noto Sans Symbols" w:cs="Noto Sans Symbols"/>
      </w:rPr>
    </w:lvl>
    <w:lvl w:ilvl="4">
      <w:start w:val="1"/>
      <w:numFmt w:val="bullet"/>
      <w:lvlText w:val="o"/>
      <w:lvlJc w:val="left"/>
      <w:pPr>
        <w:ind w:left="4188" w:hanging="360"/>
      </w:pPr>
      <w:rPr>
        <w:rFonts w:ascii="Courier New" w:eastAsia="Courier New" w:hAnsi="Courier New" w:cs="Courier New"/>
      </w:rPr>
    </w:lvl>
    <w:lvl w:ilvl="5">
      <w:start w:val="1"/>
      <w:numFmt w:val="bullet"/>
      <w:lvlText w:val="▪"/>
      <w:lvlJc w:val="left"/>
      <w:pPr>
        <w:ind w:left="4908" w:hanging="360"/>
      </w:pPr>
      <w:rPr>
        <w:rFonts w:ascii="Noto Sans Symbols" w:eastAsia="Noto Sans Symbols" w:hAnsi="Noto Sans Symbols" w:cs="Noto Sans Symbols"/>
      </w:rPr>
    </w:lvl>
    <w:lvl w:ilvl="6">
      <w:start w:val="1"/>
      <w:numFmt w:val="bullet"/>
      <w:lvlText w:val="●"/>
      <w:lvlJc w:val="left"/>
      <w:pPr>
        <w:ind w:left="5628" w:hanging="360"/>
      </w:pPr>
      <w:rPr>
        <w:rFonts w:ascii="Noto Sans Symbols" w:eastAsia="Noto Sans Symbols" w:hAnsi="Noto Sans Symbols" w:cs="Noto Sans Symbols"/>
      </w:rPr>
    </w:lvl>
    <w:lvl w:ilvl="7">
      <w:start w:val="1"/>
      <w:numFmt w:val="bullet"/>
      <w:lvlText w:val="o"/>
      <w:lvlJc w:val="left"/>
      <w:pPr>
        <w:ind w:left="6348" w:hanging="360"/>
      </w:pPr>
      <w:rPr>
        <w:rFonts w:ascii="Courier New" w:eastAsia="Courier New" w:hAnsi="Courier New" w:cs="Courier New"/>
      </w:rPr>
    </w:lvl>
    <w:lvl w:ilvl="8">
      <w:start w:val="1"/>
      <w:numFmt w:val="bullet"/>
      <w:lvlText w:val="▪"/>
      <w:lvlJc w:val="left"/>
      <w:pPr>
        <w:ind w:left="7068" w:hanging="360"/>
      </w:pPr>
      <w:rPr>
        <w:rFonts w:ascii="Noto Sans Symbols" w:eastAsia="Noto Sans Symbols" w:hAnsi="Noto Sans Symbols" w:cs="Noto Sans Symbols"/>
      </w:rPr>
    </w:lvl>
  </w:abstractNum>
  <w:abstractNum w:abstractNumId="4" w15:restartNumberingAfterBreak="0">
    <w:nsid w:val="65C15A9F"/>
    <w:multiLevelType w:val="multilevel"/>
    <w:tmpl w:val="8F9601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6A5E76D7"/>
    <w:multiLevelType w:val="multilevel"/>
    <w:tmpl w:val="BC441CA0"/>
    <w:lvl w:ilvl="0">
      <w:start w:val="1"/>
      <w:numFmt w:val="bullet"/>
      <w:lvlText w:val="✔"/>
      <w:lvlJc w:val="left"/>
      <w:pPr>
        <w:ind w:left="2028" w:hanging="360"/>
      </w:pPr>
      <w:rPr>
        <w:rFonts w:ascii="Noto Sans Symbols" w:eastAsia="Noto Sans Symbols" w:hAnsi="Noto Sans Symbols" w:cs="Noto Sans Symbols"/>
      </w:rPr>
    </w:lvl>
    <w:lvl w:ilvl="1">
      <w:start w:val="1"/>
      <w:numFmt w:val="bullet"/>
      <w:lvlText w:val="o"/>
      <w:lvlJc w:val="left"/>
      <w:pPr>
        <w:ind w:left="2748" w:hanging="360"/>
      </w:pPr>
      <w:rPr>
        <w:rFonts w:ascii="Courier New" w:eastAsia="Courier New" w:hAnsi="Courier New" w:cs="Courier New"/>
      </w:rPr>
    </w:lvl>
    <w:lvl w:ilvl="2">
      <w:start w:val="1"/>
      <w:numFmt w:val="bullet"/>
      <w:lvlText w:val="▪"/>
      <w:lvlJc w:val="left"/>
      <w:pPr>
        <w:ind w:left="3468" w:hanging="360"/>
      </w:pPr>
      <w:rPr>
        <w:rFonts w:ascii="Noto Sans Symbols" w:eastAsia="Noto Sans Symbols" w:hAnsi="Noto Sans Symbols" w:cs="Noto Sans Symbols"/>
      </w:rPr>
    </w:lvl>
    <w:lvl w:ilvl="3">
      <w:start w:val="1"/>
      <w:numFmt w:val="bullet"/>
      <w:lvlText w:val="●"/>
      <w:lvlJc w:val="left"/>
      <w:pPr>
        <w:ind w:left="4188" w:hanging="360"/>
      </w:pPr>
      <w:rPr>
        <w:rFonts w:ascii="Noto Sans Symbols" w:eastAsia="Noto Sans Symbols" w:hAnsi="Noto Sans Symbols" w:cs="Noto Sans Symbols"/>
      </w:rPr>
    </w:lvl>
    <w:lvl w:ilvl="4">
      <w:start w:val="1"/>
      <w:numFmt w:val="bullet"/>
      <w:lvlText w:val="o"/>
      <w:lvlJc w:val="left"/>
      <w:pPr>
        <w:ind w:left="4908" w:hanging="360"/>
      </w:pPr>
      <w:rPr>
        <w:rFonts w:ascii="Courier New" w:eastAsia="Courier New" w:hAnsi="Courier New" w:cs="Courier New"/>
      </w:rPr>
    </w:lvl>
    <w:lvl w:ilvl="5">
      <w:start w:val="1"/>
      <w:numFmt w:val="bullet"/>
      <w:lvlText w:val="▪"/>
      <w:lvlJc w:val="left"/>
      <w:pPr>
        <w:ind w:left="5628" w:hanging="360"/>
      </w:pPr>
      <w:rPr>
        <w:rFonts w:ascii="Noto Sans Symbols" w:eastAsia="Noto Sans Symbols" w:hAnsi="Noto Sans Symbols" w:cs="Noto Sans Symbols"/>
      </w:rPr>
    </w:lvl>
    <w:lvl w:ilvl="6">
      <w:start w:val="1"/>
      <w:numFmt w:val="bullet"/>
      <w:lvlText w:val="●"/>
      <w:lvlJc w:val="left"/>
      <w:pPr>
        <w:ind w:left="6348" w:hanging="360"/>
      </w:pPr>
      <w:rPr>
        <w:rFonts w:ascii="Noto Sans Symbols" w:eastAsia="Noto Sans Symbols" w:hAnsi="Noto Sans Symbols" w:cs="Noto Sans Symbols"/>
      </w:rPr>
    </w:lvl>
    <w:lvl w:ilvl="7">
      <w:start w:val="1"/>
      <w:numFmt w:val="bullet"/>
      <w:lvlText w:val="o"/>
      <w:lvlJc w:val="left"/>
      <w:pPr>
        <w:ind w:left="7068" w:hanging="360"/>
      </w:pPr>
      <w:rPr>
        <w:rFonts w:ascii="Courier New" w:eastAsia="Courier New" w:hAnsi="Courier New" w:cs="Courier New"/>
      </w:rPr>
    </w:lvl>
    <w:lvl w:ilvl="8">
      <w:start w:val="1"/>
      <w:numFmt w:val="bullet"/>
      <w:lvlText w:val="▪"/>
      <w:lvlJc w:val="left"/>
      <w:pPr>
        <w:ind w:left="7788" w:hanging="360"/>
      </w:pPr>
      <w:rPr>
        <w:rFonts w:ascii="Noto Sans Symbols" w:eastAsia="Noto Sans Symbols" w:hAnsi="Noto Sans Symbols" w:cs="Noto Sans Symbols"/>
      </w:rPr>
    </w:lvl>
  </w:abstractNum>
  <w:num w:numId="1">
    <w:abstractNumId w:val="2"/>
  </w:num>
  <w:num w:numId="2">
    <w:abstractNumId w:val="0"/>
  </w:num>
  <w:num w:numId="3">
    <w:abstractNumId w:val="1"/>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4C7"/>
    <w:rsid w:val="000D73FC"/>
    <w:rsid w:val="002175EE"/>
    <w:rsid w:val="003C1368"/>
    <w:rsid w:val="003E4A89"/>
    <w:rsid w:val="009534C7"/>
    <w:rsid w:val="00D021CA"/>
    <w:rsid w:val="00DF03F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EDB07"/>
  <w15:docId w15:val="{9928A6D4-1049-4672-A59F-AADF19905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styleId="Tablaconcuadrcula">
    <w:name w:val="Table Grid"/>
    <w:basedOn w:val="Tablanormal"/>
    <w:uiPriority w:val="39"/>
    <w:rsid w:val="002229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2794E"/>
    <w:pPr>
      <w:ind w:left="720"/>
      <w:contextualSpacing/>
    </w:pPr>
  </w:style>
  <w:style w:type="table" w:customStyle="1" w:styleId="2">
    <w:name w:val="2"/>
    <w:basedOn w:val="TableNormal0"/>
    <w:pPr>
      <w:spacing w:after="0" w:line="240" w:lineRule="auto"/>
    </w:pPr>
    <w:tblPr>
      <w:tblStyleRowBandSize w:val="1"/>
      <w:tblStyleColBandSize w:val="1"/>
      <w:tblCellMar>
        <w:left w:w="108" w:type="dxa"/>
        <w:right w:w="108" w:type="dxa"/>
      </w:tblCellMar>
    </w:tblPr>
  </w:style>
  <w:style w:type="table" w:customStyle="1" w:styleId="1">
    <w:name w:val="1"/>
    <w:basedOn w:val="TableNormal0"/>
    <w:pPr>
      <w:spacing w:after="0" w:line="240" w:lineRule="auto"/>
    </w:pPr>
    <w:tblPr>
      <w:tblStyleRowBandSize w:val="1"/>
      <w:tblStyleColBandSize w:val="1"/>
      <w:tblCellMar>
        <w:left w:w="108" w:type="dxa"/>
        <w:right w:w="108"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table" w:customStyle="1" w:styleId="a0">
    <w:basedOn w:val="TableNormal0"/>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2WP0xHOkYbd8y3d49fkMlsp+Uw==">CgMxLjA4AHIhMVhNRFhGMU02YlJzRm13OWlsME5CNGd0aFBVb01CSC00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614</Words>
  <Characters>3381</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BLANCA ANAYA MORENO</cp:lastModifiedBy>
  <cp:revision>3</cp:revision>
  <dcterms:created xsi:type="dcterms:W3CDTF">2025-09-30T09:58:00Z</dcterms:created>
  <dcterms:modified xsi:type="dcterms:W3CDTF">2025-09-30T09:59:00Z</dcterms:modified>
</cp:coreProperties>
</file>